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89" w:rsidRPr="00173C89" w:rsidRDefault="00173C89" w:rsidP="00173C89">
      <w:pPr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173C89">
        <w:rPr>
          <w:b/>
          <w:sz w:val="20"/>
        </w:rPr>
        <w:t>ANEXO II – CHECK-LIST DOS VEÍCULO DE RESPONSABILIDADE DA UNIFESSPA</w:t>
      </w:r>
    </w:p>
    <w:p w:rsidR="00173C89" w:rsidRPr="00636E75" w:rsidRDefault="00173C89" w:rsidP="00173C89">
      <w:pPr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>Para Conferência do Usuário</w:t>
      </w:r>
    </w:p>
    <w:p w:rsidR="00173C89" w:rsidRPr="0072314F" w:rsidRDefault="00173C89" w:rsidP="00173C89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73C89" w:rsidRPr="0072314F" w:rsidRDefault="00173C89" w:rsidP="00173C89">
      <w:pPr>
        <w:autoSpaceDE w:val="0"/>
        <w:autoSpaceDN w:val="0"/>
        <w:adjustRightInd w:val="0"/>
        <w:spacing w:line="360" w:lineRule="auto"/>
        <w:jc w:val="both"/>
      </w:pPr>
      <w:r w:rsidRPr="0072314F">
        <w:rPr>
          <w:noProof/>
        </w:rPr>
        <w:drawing>
          <wp:inline distT="0" distB="0" distL="0" distR="0">
            <wp:extent cx="5943600" cy="4095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CA" w:rsidRDefault="00173C89" w:rsidP="00173C89">
      <w:pPr>
        <w:autoSpaceDE w:val="0"/>
        <w:autoSpaceDN w:val="0"/>
        <w:adjustRightInd w:val="0"/>
        <w:spacing w:line="360" w:lineRule="auto"/>
        <w:jc w:val="both"/>
      </w:pPr>
      <w:r w:rsidRPr="0072314F">
        <w:rPr>
          <w:noProof/>
        </w:rPr>
        <w:drawing>
          <wp:inline distT="0" distB="0" distL="0" distR="0">
            <wp:extent cx="5943600" cy="4019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E"/>
    <w:rsid w:val="000E11BE"/>
    <w:rsid w:val="00173C89"/>
    <w:rsid w:val="00BC241B"/>
    <w:rsid w:val="00D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A5A"/>
  <w15:chartTrackingRefBased/>
  <w15:docId w15:val="{AF4B50B7-2D7C-4D26-934F-0FB493A3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4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C241B"/>
    <w:rPr>
      <w:rFonts w:ascii="Calibri Light" w:eastAsia="Times New Roman" w:hAnsi="Calibri Light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2017-08-07T12:19:00Z</dcterms:created>
  <dcterms:modified xsi:type="dcterms:W3CDTF">2017-08-07T12:19:00Z</dcterms:modified>
</cp:coreProperties>
</file>